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A99F" w14:textId="3957311F" w:rsidR="00DE743E" w:rsidRPr="00560AFF" w:rsidRDefault="00DE743E" w:rsidP="00AF262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 NGỎ</w:t>
      </w:r>
    </w:p>
    <w:p w14:paraId="11A70198" w14:textId="77777777" w:rsidR="00BE58CB" w:rsidRPr="00560AFF" w:rsidRDefault="00DE743E" w:rsidP="00560AFF">
      <w:pPr>
        <w:shd w:val="clear" w:color="auto" w:fill="FFFFFF"/>
        <w:spacing w:after="12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Kính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gửi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Quý</w:t>
      </w:r>
      <w:proofErr w:type="spellEnd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bậc</w:t>
      </w:r>
      <w:proofErr w:type="spellEnd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phụ</w:t>
      </w:r>
      <w:proofErr w:type="spellEnd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huynh</w:t>
      </w:r>
      <w:proofErr w:type="spellEnd"/>
      <w:r w:rsidR="00BE58CB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!</w:t>
      </w:r>
    </w:p>
    <w:p w14:paraId="4EF4ECF9" w14:textId="77777777" w:rsidR="00DE743E" w:rsidRPr="00560AFF" w:rsidRDefault="00BE58CB" w:rsidP="00560A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-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Cùng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toàn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thể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</w:t>
      </w:r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ác</w:t>
      </w:r>
      <w:proofErr w:type="spellEnd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em</w:t>
      </w:r>
      <w:proofErr w:type="spellEnd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khối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9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thân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mến</w:t>
      </w:r>
      <w:proofErr w:type="spellEnd"/>
      <w:r w:rsidR="00DE743E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!</w:t>
      </w:r>
    </w:p>
    <w:p w14:paraId="4130DE48" w14:textId="77777777" w:rsidR="00D500C9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</w:t>
      </w:r>
      <w:r w:rsidR="00BE58CB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533F49C" w14:textId="2AEF80E7" w:rsidR="00BE58CB" w:rsidRPr="00560AFF" w:rsidRDefault="00BE58CB" w:rsidP="00D500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hết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thay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CB,GV</w:t>
      </w:r>
      <w:proofErr w:type="gram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,NV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GDTX Long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Đỏ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Rịa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Vũng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Tàu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gửi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chào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trân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trọng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ơn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Quý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phụ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53BCA94" w14:textId="5D172A3F" w:rsidR="00DE743E" w:rsidRPr="00560AFF" w:rsidRDefault="00DE743E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hân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xen lo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9.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nỗi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trăn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hẳn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71D77BA9" w14:textId="77777777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</w:t>
      </w:r>
      <w:r w:rsidR="00A839B3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GDTX  Long</w:t>
      </w:r>
      <w:proofErr w:type="gram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iền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lắng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="009B4A62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2AFF1CF" w14:textId="77777777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  </w:t>
      </w:r>
      <w:r w:rsidR="00A839B3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cấu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đội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ngũ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giáo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viên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nổ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giàu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50%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giỏi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2DC964C" w14:textId="77777777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  </w:t>
      </w:r>
      <w:r w:rsidR="00A839B3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sở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bị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các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thiết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bị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phục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vụ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hoạt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động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dạy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̀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học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37EC471" w14:textId="0E0AB218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  </w:t>
      </w:r>
      <w:r w:rsidR="00A839B3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tỷ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lệ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tố</w:t>
      </w:r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nghiệp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THPT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Quốc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đạt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tỉ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lệ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4886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80%</w:t>
      </w:r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A995751" w14:textId="1D8E3113" w:rsidR="00072CC0" w:rsidRPr="00560AFF" w:rsidRDefault="00DE743E" w:rsidP="00560AFF">
      <w:pPr>
        <w:shd w:val="clear" w:color="auto" w:fill="FFFFFF"/>
        <w:spacing w:after="120" w:line="240" w:lineRule="auto"/>
        <w:jc w:val="both"/>
        <w:rPr>
          <w:rStyle w:val="fontstyle01"/>
          <w:rFonts w:ascii="Times New Roman" w:hAnsi="Times New Roman" w:cs="Times New Roman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    </w:t>
      </w:r>
      <w:r w:rsidR="00A839B3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chương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trình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môn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SGK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2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F2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THPT;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THPT,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86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Toán</w:t>
      </w:r>
      <w:proofErr w:type="spellEnd"/>
      <w:r w:rsidRPr="00560A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Ngữ</w:t>
      </w:r>
      <w:proofErr w:type="spellEnd"/>
      <w:r w:rsidRPr="00560A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Văn</w:t>
      </w:r>
      <w:proofErr w:type="spellEnd"/>
      <w:r w:rsidR="006C4886" w:rsidRPr="00560A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và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5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lựa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chọn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trong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3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nhóm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theo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nguyên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tắc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="00072CC0" w:rsidRPr="00560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nhóm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lựa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chọn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ít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nhất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1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072CC0"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="00072CC0" w:rsidRPr="00560AFF">
        <w:rPr>
          <w:rStyle w:val="fontstyle01"/>
          <w:rFonts w:ascii="Times New Roman" w:hAnsi="Times New Roman" w:cs="Times New Roman"/>
        </w:rPr>
        <w:t>:</w:t>
      </w:r>
    </w:p>
    <w:p w14:paraId="452265AB" w14:textId="77777777" w:rsidR="00072CC0" w:rsidRPr="00560AFF" w:rsidRDefault="00072CC0" w:rsidP="00560AFF">
      <w:pPr>
        <w:shd w:val="clear" w:color="auto" w:fill="FFFFFF"/>
        <w:spacing w:after="120" w:line="240" w:lineRule="auto"/>
        <w:ind w:firstLine="720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Nhóm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Khoa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xã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hội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Lịch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sử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Địa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lí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Giáo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dục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kinh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tế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và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pháp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luật</w:t>
      </w:r>
      <w:proofErr w:type="spellEnd"/>
      <w:r w:rsidRPr="00560AFF">
        <w:rPr>
          <w:rStyle w:val="fontstyle01"/>
          <w:rFonts w:ascii="Times New Roman" w:hAnsi="Times New Roman" w:cs="Times New Roman"/>
        </w:rPr>
        <w:t>;</w:t>
      </w:r>
    </w:p>
    <w:p w14:paraId="5FD31732" w14:textId="77777777" w:rsidR="00072CC0" w:rsidRPr="00560AFF" w:rsidRDefault="00072CC0" w:rsidP="00560AFF">
      <w:pPr>
        <w:shd w:val="clear" w:color="auto" w:fill="FFFFFF"/>
        <w:spacing w:after="120" w:line="240" w:lineRule="auto"/>
        <w:ind w:left="720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Nhóm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Khoa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tự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nhiên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Vật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lí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Hóa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Sinh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>;</w:t>
      </w:r>
    </w:p>
    <w:p w14:paraId="6EEB64E0" w14:textId="402DB7A6" w:rsidR="00072CC0" w:rsidRPr="00560AFF" w:rsidRDefault="00072CC0" w:rsidP="00560AFF">
      <w:pPr>
        <w:shd w:val="clear" w:color="auto" w:fill="FFFFFF"/>
        <w:spacing w:after="120" w:line="240" w:lineRule="auto"/>
        <w:ind w:left="720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Nhóm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Công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nghệ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Tin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Công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nghệ</w:t>
      </w:r>
      <w:proofErr w:type="spellEnd"/>
      <w:r w:rsidRPr="00560AFF">
        <w:rPr>
          <w:rStyle w:val="fontstyle01"/>
          <w:rFonts w:ascii="Times New Roman" w:hAnsi="Times New Roman" w:cs="Times New Roman"/>
        </w:rPr>
        <w:t>.</w:t>
      </w:r>
    </w:p>
    <w:p w14:paraId="41420E76" w14:textId="1E319199" w:rsidR="00072CC0" w:rsidRPr="00560AFF" w:rsidRDefault="00072CC0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Các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môn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tự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chọn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gồm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Ngoại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ngữ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Tiếng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dân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tộc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thiểu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số</w:t>
      </w:r>
      <w:proofErr w:type="spellEnd"/>
      <w:r w:rsidR="00DE743E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739DA9BB" w14:textId="77777777" w:rsidR="00072CC0" w:rsidRPr="00560AFF" w:rsidRDefault="00072CC0" w:rsidP="00560AFF">
      <w:pPr>
        <w:shd w:val="clear" w:color="auto" w:fill="FFFFFF"/>
        <w:spacing w:after="120" w:line="240" w:lineRule="auto"/>
        <w:ind w:firstLine="720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động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bắt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buộc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động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tập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thể</w:t>
      </w:r>
      <w:proofErr w:type="spellEnd"/>
      <w:r w:rsidRPr="00560AFF">
        <w:rPr>
          <w:rStyle w:val="fontstyle01"/>
          <w:rFonts w:ascii="Times New Roman" w:hAnsi="Times New Roman" w:cs="Times New Roman"/>
        </w:rPr>
        <w:t>.</w:t>
      </w:r>
    </w:p>
    <w:p w14:paraId="6EAB4E0E" w14:textId="6AF818E7" w:rsidR="00072CC0" w:rsidRPr="00560AFF" w:rsidRDefault="00072CC0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động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tự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chọn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Nội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dung </w:t>
      </w:r>
      <w:proofErr w:type="spellStart"/>
      <w:r w:rsidRPr="00560AFF">
        <w:rPr>
          <w:rStyle w:val="fontstyle01"/>
          <w:rFonts w:ascii="Times New Roman" w:hAnsi="Times New Roman" w:cs="Times New Roman"/>
        </w:rPr>
        <w:t>giáo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dục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địa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phương</w:t>
      </w:r>
      <w:proofErr w:type="spellEnd"/>
      <w:r w:rsidRPr="00560AFF">
        <w:rPr>
          <w:rStyle w:val="fontstyle01"/>
          <w:rFonts w:ascii="Times New Roman" w:hAnsi="Times New Roman" w:cs="Times New Roman"/>
        </w:rPr>
        <w:t>.</w:t>
      </w:r>
    </w:p>
    <w:p w14:paraId="2F88440C" w14:textId="79C03121" w:rsidR="00DE743E" w:rsidRPr="00560AFF" w:rsidRDefault="00DE743E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072CC0"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quyền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lợi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Sau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12,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072CC0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THPT;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được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cấp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bằng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tốt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nghiệp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THPT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như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bằng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tốt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nghiệp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của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học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THPT.</w:t>
      </w: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D29A903" w14:textId="2C769BA4" w:rsidR="00AC4E45" w:rsidRDefault="00AC4E45" w:rsidP="00560AFF">
      <w:pPr>
        <w:shd w:val="clear" w:color="auto" w:fill="FFFFFF"/>
        <w:spacing w:after="120" w:line="240" w:lineRule="auto"/>
        <w:ind w:firstLine="720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F2625">
        <w:rPr>
          <w:rStyle w:val="fontstyle01"/>
          <w:rFonts w:ascii="Times New Roman" w:hAnsi="Times New Roman" w:cs="Times New Roman"/>
          <w:b/>
          <w:bCs/>
        </w:rPr>
        <w:t>Thời</w:t>
      </w:r>
      <w:proofErr w:type="spellEnd"/>
      <w:r w:rsidRPr="00AF2625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AF2625">
        <w:rPr>
          <w:rStyle w:val="fontstyle01"/>
          <w:rFonts w:ascii="Times New Roman" w:hAnsi="Times New Roman" w:cs="Times New Roman"/>
          <w:b/>
          <w:bCs/>
        </w:rPr>
        <w:t>lượng</w:t>
      </w:r>
      <w:proofErr w:type="spellEnd"/>
      <w:r w:rsidRPr="00AF2625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AF2625">
        <w:rPr>
          <w:rStyle w:val="fontstyle01"/>
          <w:rFonts w:ascii="Times New Roman" w:hAnsi="Times New Roman" w:cs="Times New Roman"/>
          <w:b/>
          <w:bCs/>
        </w:rPr>
        <w:t>giáo</w:t>
      </w:r>
      <w:proofErr w:type="spellEnd"/>
      <w:r w:rsidRPr="00AF2625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AF2625">
        <w:rPr>
          <w:rStyle w:val="fontstyle01"/>
          <w:rFonts w:ascii="Times New Roman" w:hAnsi="Times New Roman" w:cs="Times New Roman"/>
          <w:b/>
          <w:bCs/>
        </w:rPr>
        <w:t>dục</w:t>
      </w:r>
      <w:proofErr w:type="spellEnd"/>
      <w:r w:rsidRPr="00560A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Thời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gian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của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năm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từ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32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tuần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đến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35</w:t>
      </w:r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tuần</w:t>
      </w:r>
      <w:proofErr w:type="spellEnd"/>
      <w:r w:rsidRPr="00560AFF">
        <w:rPr>
          <w:rStyle w:val="fontstyle01"/>
          <w:rFonts w:ascii="Times New Roman" w:hAnsi="Times New Roman" w:cs="Times New Roman"/>
        </w:rPr>
        <w:t>.</w:t>
      </w:r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ngày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1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buổi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buổi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không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bố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trí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quá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5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tiết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;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Pr="00560A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60AFF">
        <w:rPr>
          <w:rStyle w:val="fontstyle01"/>
          <w:rFonts w:ascii="Times New Roman" w:hAnsi="Times New Roman" w:cs="Times New Roman"/>
        </w:rPr>
        <w:lastRenderedPageBreak/>
        <w:t>tiết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học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45 </w:t>
      </w:r>
      <w:proofErr w:type="spellStart"/>
      <w:r w:rsidRPr="00560AFF">
        <w:rPr>
          <w:rStyle w:val="fontstyle01"/>
          <w:rFonts w:ascii="Times New Roman" w:hAnsi="Times New Roman" w:cs="Times New Roman"/>
        </w:rPr>
        <w:t>phút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560AFF">
        <w:rPr>
          <w:rStyle w:val="fontstyle01"/>
          <w:rFonts w:ascii="Times New Roman" w:hAnsi="Times New Roman" w:cs="Times New Roman"/>
        </w:rPr>
        <w:t>Mỗi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tuần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bố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trí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2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tiết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của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động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tập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thể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để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sinh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lớp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560AFF">
        <w:rPr>
          <w:rStyle w:val="fontstyle01"/>
          <w:rFonts w:ascii="Times New Roman" w:hAnsi="Times New Roman" w:cs="Times New Roman"/>
        </w:rPr>
        <w:t>sinh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toàn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trung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tâm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hoặc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tổ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chức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các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hoạt</w:t>
      </w:r>
      <w:proofErr w:type="spellEnd"/>
      <w:r w:rsidRPr="00560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động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tập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thể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giáo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dục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theo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các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chủ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đề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do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trung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tâm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xây</w:t>
      </w:r>
      <w:proofErr w:type="spellEnd"/>
      <w:r w:rsidRPr="00560AF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60AFF">
        <w:rPr>
          <w:rStyle w:val="fontstyle01"/>
          <w:rFonts w:ascii="Times New Roman" w:hAnsi="Times New Roman" w:cs="Times New Roman"/>
        </w:rPr>
        <w:t>dựng</w:t>
      </w:r>
      <w:proofErr w:type="spellEnd"/>
      <w:r w:rsidRPr="00560AFF">
        <w:rPr>
          <w:rStyle w:val="fontstyle01"/>
          <w:rFonts w:ascii="Times New Roman" w:hAnsi="Times New Roman" w:cs="Times New Roman"/>
        </w:rPr>
        <w:t>.</w:t>
      </w:r>
    </w:p>
    <w:p w14:paraId="5D3DA689" w14:textId="7F8F8C81" w:rsidR="00AF2625" w:rsidRPr="00D500C9" w:rsidRDefault="00AF2625" w:rsidP="00560AFF">
      <w:pPr>
        <w:shd w:val="clear" w:color="auto" w:fill="FFFFFF"/>
        <w:spacing w:after="120" w:line="240" w:lineRule="auto"/>
        <w:ind w:firstLine="720"/>
        <w:jc w:val="both"/>
        <w:rPr>
          <w:rStyle w:val="fontstyle01"/>
          <w:rFonts w:ascii="Times New Roman" w:hAnsi="Times New Roman" w:cs="Times New Roman"/>
          <w:b/>
          <w:bCs/>
        </w:rPr>
      </w:pPr>
      <w:proofErr w:type="spellStart"/>
      <w:r w:rsidRPr="00D500C9">
        <w:rPr>
          <w:rStyle w:val="fontstyle01"/>
          <w:rFonts w:ascii="Times New Roman" w:hAnsi="Times New Roman" w:cs="Times New Roman"/>
          <w:b/>
          <w:bCs/>
        </w:rPr>
        <w:t>Tổ</w:t>
      </w:r>
      <w:proofErr w:type="spellEnd"/>
      <w:r w:rsidRPr="00D500C9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D500C9">
        <w:rPr>
          <w:rStyle w:val="fontstyle01"/>
          <w:rFonts w:ascii="Times New Roman" w:hAnsi="Times New Roman" w:cs="Times New Roman"/>
          <w:b/>
          <w:bCs/>
        </w:rPr>
        <w:t>hợp</w:t>
      </w:r>
      <w:proofErr w:type="spellEnd"/>
      <w:r w:rsidRPr="00D500C9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D500C9">
        <w:rPr>
          <w:rStyle w:val="fontstyle01"/>
          <w:rFonts w:ascii="Times New Roman" w:hAnsi="Times New Roman" w:cs="Times New Roman"/>
          <w:b/>
          <w:bCs/>
        </w:rPr>
        <w:t>môn</w:t>
      </w:r>
      <w:proofErr w:type="spellEnd"/>
      <w:r w:rsidRPr="00D500C9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D500C9">
        <w:rPr>
          <w:rStyle w:val="fontstyle01"/>
          <w:rFonts w:ascii="Times New Roman" w:hAnsi="Times New Roman" w:cs="Times New Roman"/>
          <w:b/>
          <w:bCs/>
        </w:rPr>
        <w:t>lựa</w:t>
      </w:r>
      <w:proofErr w:type="spellEnd"/>
      <w:r w:rsidRPr="00D500C9">
        <w:rPr>
          <w:rStyle w:val="fontstyle01"/>
          <w:rFonts w:ascii="Times New Roman" w:hAnsi="Times New Roman" w:cs="Times New Roman"/>
          <w:b/>
          <w:bCs/>
        </w:rPr>
        <w:t xml:space="preserve"> </w:t>
      </w:r>
      <w:proofErr w:type="spellStart"/>
      <w:r w:rsidRPr="00D500C9">
        <w:rPr>
          <w:rStyle w:val="fontstyle01"/>
          <w:rFonts w:ascii="Times New Roman" w:hAnsi="Times New Roman" w:cs="Times New Roman"/>
          <w:b/>
          <w:bCs/>
        </w:rPr>
        <w:t>chọn</w:t>
      </w:r>
      <w:proofErr w:type="spellEnd"/>
      <w:r w:rsidRPr="00D500C9">
        <w:rPr>
          <w:rStyle w:val="fontstyle01"/>
          <w:rFonts w:ascii="Times New Roman" w:hAnsi="Times New Roman" w:cs="Times New Roman"/>
          <w:b/>
          <w:bCs/>
        </w:rPr>
        <w:t>: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19"/>
        <w:gridCol w:w="2977"/>
        <w:gridCol w:w="2126"/>
        <w:gridCol w:w="1461"/>
      </w:tblGrid>
      <w:tr w:rsidR="00AF2625" w:rsidRPr="00296618" w14:paraId="4E80D708" w14:textId="77777777" w:rsidTr="00AF2625">
        <w:trPr>
          <w:trHeight w:val="890"/>
        </w:trPr>
        <w:tc>
          <w:tcPr>
            <w:tcW w:w="816" w:type="dxa"/>
            <w:shd w:val="clear" w:color="auto" w:fill="auto"/>
          </w:tcPr>
          <w:p w14:paraId="279334E8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61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19" w:type="dxa"/>
          </w:tcPr>
          <w:p w14:paraId="55617754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b/>
                <w:sz w:val="28"/>
                <w:szCs w:val="28"/>
              </w:rPr>
              <w:t>Môn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học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bắt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72BC38F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b/>
                <w:sz w:val="28"/>
                <w:szCs w:val="28"/>
              </w:rPr>
              <w:t>Tổ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hợp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môn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lựa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chọn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trong</w:t>
            </w:r>
            <w:proofErr w:type="spellEnd"/>
            <w:r>
              <w:rPr>
                <w:b/>
                <w:sz w:val="28"/>
                <w:szCs w:val="28"/>
              </w:rPr>
              <w:t xml:space="preserve"> 03 </w:t>
            </w: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FA09F6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b/>
                <w:sz w:val="28"/>
                <w:szCs w:val="28"/>
              </w:rPr>
              <w:t>Chuyên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đề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học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tập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bắt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075CE103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b/>
                <w:sz w:val="28"/>
                <w:szCs w:val="28"/>
              </w:rPr>
              <w:t>Môn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học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tự</w:t>
            </w:r>
            <w:proofErr w:type="spellEnd"/>
            <w:r w:rsidRPr="002966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/>
                <w:sz w:val="28"/>
                <w:szCs w:val="28"/>
              </w:rPr>
              <w:t>chọn</w:t>
            </w:r>
            <w:proofErr w:type="spellEnd"/>
          </w:p>
        </w:tc>
      </w:tr>
      <w:tr w:rsidR="00AF2625" w:rsidRPr="00296618" w14:paraId="738CD7FD" w14:textId="77777777" w:rsidTr="00D500C9">
        <w:trPr>
          <w:trHeight w:val="718"/>
        </w:trPr>
        <w:tc>
          <w:tcPr>
            <w:tcW w:w="816" w:type="dxa"/>
            <w:shd w:val="clear" w:color="auto" w:fill="auto"/>
            <w:vAlign w:val="center"/>
          </w:tcPr>
          <w:p w14:paraId="3FC62606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618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2FAD7F09" w14:textId="77777777" w:rsidR="00AF2625" w:rsidRPr="0029661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6618">
              <w:rPr>
                <w:bCs/>
                <w:sz w:val="28"/>
                <w:szCs w:val="28"/>
              </w:rPr>
              <w:t>Toán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bCs/>
                <w:sz w:val="28"/>
                <w:szCs w:val="28"/>
              </w:rPr>
              <w:t>Ngữ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DEF415B" w14:textId="77777777" w:rsidR="00AF2625" w:rsidRPr="00DD61E3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61E3">
              <w:rPr>
                <w:bCs/>
                <w:sz w:val="28"/>
                <w:szCs w:val="28"/>
              </w:rPr>
              <w:t>Vật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lí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Sinh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Tin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Lịch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Địa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EAB05AB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Toán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Ngữ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Văn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Vật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14:paraId="12054126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Tiếng</w:t>
            </w:r>
            <w:proofErr w:type="spellEnd"/>
            <w:r w:rsidRPr="00296618">
              <w:rPr>
                <w:sz w:val="28"/>
                <w:szCs w:val="28"/>
              </w:rPr>
              <w:t xml:space="preserve"> Anh</w:t>
            </w:r>
          </w:p>
        </w:tc>
      </w:tr>
      <w:tr w:rsidR="00AF2625" w:rsidRPr="00296618" w14:paraId="3713BD28" w14:textId="77777777" w:rsidTr="00D500C9">
        <w:trPr>
          <w:trHeight w:val="828"/>
        </w:trPr>
        <w:tc>
          <w:tcPr>
            <w:tcW w:w="816" w:type="dxa"/>
            <w:shd w:val="clear" w:color="auto" w:fill="auto"/>
            <w:vAlign w:val="center"/>
          </w:tcPr>
          <w:p w14:paraId="7D4705EF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14:paraId="28BB99F0" w14:textId="77777777" w:rsidR="00AF2625" w:rsidRPr="0029661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6618">
              <w:rPr>
                <w:bCs/>
                <w:sz w:val="28"/>
                <w:szCs w:val="28"/>
              </w:rPr>
              <w:t>Toán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bCs/>
                <w:sz w:val="28"/>
                <w:szCs w:val="28"/>
              </w:rPr>
              <w:t>Ngữ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00D4642" w14:textId="77777777" w:rsidR="00AF2625" w:rsidRPr="00DD61E3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Hóa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Sinh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Tin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Công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nghệ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Lịch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84D230C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Toán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Ngữ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Văn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14:paraId="224671BB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Tiếng</w:t>
            </w:r>
            <w:proofErr w:type="spellEnd"/>
            <w:r w:rsidRPr="00296618">
              <w:rPr>
                <w:sz w:val="28"/>
                <w:szCs w:val="28"/>
              </w:rPr>
              <w:t xml:space="preserve"> Anh</w:t>
            </w:r>
          </w:p>
        </w:tc>
      </w:tr>
      <w:tr w:rsidR="00AF2625" w:rsidRPr="00296618" w14:paraId="40388EF4" w14:textId="77777777" w:rsidTr="00D500C9">
        <w:trPr>
          <w:trHeight w:val="713"/>
        </w:trPr>
        <w:tc>
          <w:tcPr>
            <w:tcW w:w="816" w:type="dxa"/>
            <w:shd w:val="clear" w:color="auto" w:fill="auto"/>
            <w:vAlign w:val="center"/>
          </w:tcPr>
          <w:p w14:paraId="0B4C6D71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14:paraId="0E0F4D96" w14:textId="77777777" w:rsidR="00AF2625" w:rsidRPr="0029661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6618">
              <w:rPr>
                <w:bCs/>
                <w:sz w:val="28"/>
                <w:szCs w:val="28"/>
              </w:rPr>
              <w:t>Toán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bCs/>
                <w:sz w:val="28"/>
                <w:szCs w:val="28"/>
              </w:rPr>
              <w:t>Ngữ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C203C8B" w14:textId="77777777" w:rsidR="00AF2625" w:rsidRPr="00DD61E3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61E3">
              <w:rPr>
                <w:bCs/>
                <w:sz w:val="28"/>
                <w:szCs w:val="28"/>
              </w:rPr>
              <w:t>Lịch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sử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Địa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lí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Sinh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Tin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Công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BBFA484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Toán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Ngữ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Văn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Lịch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14:paraId="02175E42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Tiếng</w:t>
            </w:r>
            <w:proofErr w:type="spellEnd"/>
            <w:r w:rsidRPr="00296618">
              <w:rPr>
                <w:sz w:val="28"/>
                <w:szCs w:val="28"/>
              </w:rPr>
              <w:t xml:space="preserve"> Anh</w:t>
            </w:r>
          </w:p>
        </w:tc>
      </w:tr>
      <w:tr w:rsidR="00AF2625" w:rsidRPr="00296618" w14:paraId="7791B5AA" w14:textId="77777777" w:rsidTr="00D500C9">
        <w:trPr>
          <w:trHeight w:val="694"/>
        </w:trPr>
        <w:tc>
          <w:tcPr>
            <w:tcW w:w="816" w:type="dxa"/>
            <w:shd w:val="clear" w:color="auto" w:fill="auto"/>
          </w:tcPr>
          <w:p w14:paraId="54D0FA2F" w14:textId="77777777" w:rsidR="00AF2625" w:rsidRDefault="00AF2625" w:rsidP="00AF262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01ACB37" w14:textId="77777777" w:rsidR="00AF2625" w:rsidRPr="00485C8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85C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14:paraId="4EF2FDA2" w14:textId="77777777" w:rsidR="00AF2625" w:rsidRPr="0029661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6618">
              <w:rPr>
                <w:bCs/>
                <w:sz w:val="28"/>
                <w:szCs w:val="28"/>
              </w:rPr>
              <w:t>Toán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bCs/>
                <w:sz w:val="28"/>
                <w:szCs w:val="28"/>
              </w:rPr>
              <w:t>Ngữ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AF9050B" w14:textId="0F33EBE6" w:rsidR="00AF2625" w:rsidRPr="00DD61E3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61E3">
              <w:rPr>
                <w:bCs/>
                <w:sz w:val="28"/>
                <w:szCs w:val="28"/>
              </w:rPr>
              <w:t>Lịch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sử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GD-KTPL</w:t>
            </w:r>
            <w:r w:rsidRPr="00DD61E3">
              <w:rPr>
                <w:bCs/>
                <w:sz w:val="28"/>
                <w:szCs w:val="28"/>
              </w:rPr>
              <w:t xml:space="preserve">, Tin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Vật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lý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Công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4364FE" w14:textId="1493098E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Toán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Ngữ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Văn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GD-KTPL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A8630A1" w14:textId="77777777" w:rsidR="00AF2625" w:rsidRPr="00296618" w:rsidRDefault="00AF2625" w:rsidP="00AF26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Tiếng</w:t>
            </w:r>
            <w:proofErr w:type="spellEnd"/>
            <w:r w:rsidRPr="00296618">
              <w:rPr>
                <w:sz w:val="28"/>
                <w:szCs w:val="28"/>
              </w:rPr>
              <w:t xml:space="preserve"> Anh</w:t>
            </w:r>
          </w:p>
        </w:tc>
      </w:tr>
      <w:tr w:rsidR="00AF2625" w:rsidRPr="00296618" w14:paraId="7D5FE5F5" w14:textId="77777777" w:rsidTr="00D500C9">
        <w:trPr>
          <w:trHeight w:val="690"/>
        </w:trPr>
        <w:tc>
          <w:tcPr>
            <w:tcW w:w="816" w:type="dxa"/>
            <w:shd w:val="clear" w:color="auto" w:fill="auto"/>
          </w:tcPr>
          <w:p w14:paraId="2BF340F5" w14:textId="77777777" w:rsidR="00AF2625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14:paraId="2E0FB6C5" w14:textId="77777777" w:rsidR="00AF2625" w:rsidRPr="00DC747C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14:paraId="2BE36D26" w14:textId="77777777" w:rsidR="00AF2625" w:rsidRPr="00296618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6618">
              <w:rPr>
                <w:bCs/>
                <w:sz w:val="28"/>
                <w:szCs w:val="28"/>
              </w:rPr>
              <w:t>Toán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bCs/>
                <w:sz w:val="28"/>
                <w:szCs w:val="28"/>
              </w:rPr>
              <w:t>Ngữ</w:t>
            </w:r>
            <w:proofErr w:type="spellEnd"/>
            <w:r w:rsidRPr="002966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EDF0C84" w14:textId="77777777" w:rsidR="00AF2625" w:rsidRPr="00DD61E3" w:rsidRDefault="00AF2625" w:rsidP="00AF26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D61E3">
              <w:rPr>
                <w:bCs/>
                <w:sz w:val="28"/>
                <w:szCs w:val="28"/>
              </w:rPr>
              <w:t xml:space="preserve">Tin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Công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nghệ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Vật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lý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Sinh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học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D61E3">
              <w:rPr>
                <w:bCs/>
                <w:sz w:val="28"/>
                <w:szCs w:val="28"/>
              </w:rPr>
              <w:t>Lịch</w:t>
            </w:r>
            <w:proofErr w:type="spellEnd"/>
            <w:r w:rsidRPr="00DD61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D61E3">
              <w:rPr>
                <w:bCs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DF00941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Toán</w:t>
            </w:r>
            <w:proofErr w:type="spellEnd"/>
            <w:r w:rsidRPr="00296618">
              <w:rPr>
                <w:sz w:val="28"/>
                <w:szCs w:val="28"/>
              </w:rPr>
              <w:t xml:space="preserve">, </w:t>
            </w:r>
            <w:proofErr w:type="spellStart"/>
            <w:r w:rsidRPr="00296618">
              <w:rPr>
                <w:sz w:val="28"/>
                <w:szCs w:val="28"/>
              </w:rPr>
              <w:t>Ngữ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Văn</w:t>
            </w:r>
            <w:proofErr w:type="spellEnd"/>
            <w:r w:rsidRPr="00296618">
              <w:rPr>
                <w:sz w:val="28"/>
                <w:szCs w:val="28"/>
              </w:rPr>
              <w:t xml:space="preserve">, Tin </w:t>
            </w:r>
            <w:proofErr w:type="spellStart"/>
            <w:r w:rsidRPr="00296618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14:paraId="5C9FF2A1" w14:textId="77777777" w:rsidR="00AF2625" w:rsidRPr="00296618" w:rsidRDefault="00AF2625" w:rsidP="00AF26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96618">
              <w:rPr>
                <w:sz w:val="28"/>
                <w:szCs w:val="28"/>
              </w:rPr>
              <w:t>Tiếng</w:t>
            </w:r>
            <w:proofErr w:type="spellEnd"/>
            <w:r w:rsidRPr="00296618">
              <w:rPr>
                <w:sz w:val="28"/>
                <w:szCs w:val="28"/>
              </w:rPr>
              <w:t xml:space="preserve"> </w:t>
            </w:r>
            <w:proofErr w:type="spellStart"/>
            <w:r w:rsidRPr="00296618">
              <w:rPr>
                <w:sz w:val="28"/>
                <w:szCs w:val="28"/>
              </w:rPr>
              <w:t>anh</w:t>
            </w:r>
            <w:proofErr w:type="spellEnd"/>
          </w:p>
        </w:tc>
      </w:tr>
    </w:tbl>
    <w:p w14:paraId="2B23A5AD" w14:textId="77777777" w:rsidR="00D500C9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  <w:r w:rsidR="00EA3683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2CCA358" w14:textId="2DAEEF6B" w:rsidR="00AC4E45" w:rsidRPr="00560AFF" w:rsidRDefault="00EA3683" w:rsidP="00D500C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AC4E45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AC4E45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thúc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khó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khăn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thử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thách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kỳ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lớp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202</w:t>
      </w:r>
      <w:r w:rsidR="00AC4E45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AC4E45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bao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nỗi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lo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lắng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Quý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phụ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khối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9,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chọn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con,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THPT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59A7F0FB" w14:textId="67E251AB" w:rsidR="00DE743E" w:rsidRDefault="00EA3683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GDTX Long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Đỏ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tin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cậy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lựa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chọn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Qúy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phụ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kỳ</w:t>
      </w:r>
      <w:proofErr w:type="spellEnd"/>
      <w:r w:rsidR="00D47C9B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47C9B"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tuyển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sắp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560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khuyên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Đối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với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những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học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lực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còn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hạn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chê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tin,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GDTX Long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839B3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A839B3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đắn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="00DE743E"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63F917" w14:textId="285A4AAC" w:rsidR="00D500C9" w:rsidRPr="00560AFF" w:rsidRDefault="00D500C9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fontstyle01"/>
        </w:rPr>
        <w:t>Chương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trình</w:t>
      </w:r>
      <w:proofErr w:type="spellEnd"/>
      <w:r>
        <w:rPr>
          <w:rStyle w:val="fontstyle01"/>
        </w:rPr>
        <w:t xml:space="preserve"> GDTX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 xml:space="preserve"> THPT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từ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10,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11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12. HV </w:t>
      </w:r>
      <w:proofErr w:type="spellStart"/>
      <w:r>
        <w:rPr>
          <w:rStyle w:val="fontstyle01"/>
        </w:rPr>
        <w:t>vào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lớp</w:t>
      </w:r>
      <w:proofErr w:type="spellEnd"/>
      <w:r>
        <w:rPr>
          <w:rStyle w:val="fontstyle01"/>
        </w:rPr>
        <w:t xml:space="preserve"> 10 </w:t>
      </w:r>
      <w:proofErr w:type="spellStart"/>
      <w:r>
        <w:rPr>
          <w:rStyle w:val="fontstyle01"/>
        </w:rPr>
        <w:t>phải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bằng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tốt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nghiệp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trung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sở</w:t>
      </w:r>
      <w:proofErr w:type="spellEnd"/>
      <w:r>
        <w:rPr>
          <w:rStyle w:val="fontstyle01"/>
        </w:rPr>
        <w:t xml:space="preserve"> (THCS)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hoặc</w:t>
      </w:r>
      <w:proofErr w:type="spellEnd"/>
      <w:r>
        <w:rPr>
          <w:rStyle w:val="fontstyle01"/>
        </w:rPr>
        <w:t xml:space="preserve"> GDTX</w:t>
      </w:r>
    </w:p>
    <w:p w14:paraId="1AD4AA79" w14:textId="6A16A285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      </w:t>
      </w:r>
      <w:r w:rsidR="00AC4E45"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Kính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chúc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quý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phụ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huynh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sức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khỏe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chúc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em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tìm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được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môi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trường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tập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phu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̀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hợp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và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đạt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được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ước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mơ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mình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!</w:t>
      </w:r>
    </w:p>
    <w:p w14:paraId="21FFAB02" w14:textId="0165AD19" w:rsidR="00AC4E45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     </w:t>
      </w:r>
      <w:r w:rsidR="00AC4E45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Mọi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tin chi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tiết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xin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liên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hệ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trực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tiếp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Trung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tâm</w:t>
      </w:r>
      <w:proofErr w:type="spellEnd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GDTX Long </w:t>
      </w:r>
      <w:proofErr w:type="spellStart"/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</w:t>
      </w:r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iền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Đất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Đỏ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Điện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thoại:0254 3862274</w:t>
      </w:r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Cô</w:t>
      </w:r>
      <w:proofErr w:type="spellEnd"/>
      <w:r w:rsidR="00E16D0A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C4E45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Thư</w:t>
      </w:r>
      <w:proofErr w:type="spellEnd"/>
      <w:r w:rsidR="00E16D0A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); 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hoặc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0903623947 (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Thầy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Dũng</w:t>
      </w:r>
      <w:proofErr w:type="spellEnd"/>
      <w:r w:rsidR="00D47C9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PGĐ).</w:t>
      </w:r>
    </w:p>
    <w:p w14:paraId="69A49736" w14:textId="26F35BD1" w:rsidR="00AC4E45" w:rsidRPr="00560AFF" w:rsidRDefault="00DE743E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Email: </w:t>
      </w:r>
      <w:r w:rsidR="00560AFF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gdtx_longdiendatdo@bariavungtau.edu.vn</w:t>
      </w:r>
    </w:p>
    <w:p w14:paraId="723C258D" w14:textId="445058B1" w:rsidR="00DE743E" w:rsidRPr="00560AFF" w:rsidRDefault="00DE743E" w:rsidP="00560AF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W</w:t>
      </w:r>
      <w:r w:rsidR="00BE58CB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ebsite: </w:t>
      </w:r>
      <w:r w:rsidR="00560AFF" w:rsidRPr="00560A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http://gdtx-longdiendatdo.bariavungtau.edu.vn</w:t>
      </w:r>
    </w:p>
    <w:p w14:paraId="08799820" w14:textId="77777777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  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Trân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trọng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kính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chào</w:t>
      </w:r>
      <w:proofErr w:type="spellEnd"/>
      <w:r w:rsidRPr="00560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14:paraId="3BCDA784" w14:textId="77777777" w:rsidR="00DE743E" w:rsidRPr="00560AFF" w:rsidRDefault="00DE743E" w:rsidP="00560A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942"/>
      </w:tblGrid>
      <w:tr w:rsidR="00A839B3" w:rsidRPr="00560AFF" w14:paraId="5F50098F" w14:textId="77777777" w:rsidTr="00DE743E">
        <w:tc>
          <w:tcPr>
            <w:tcW w:w="5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BA04D04" w14:textId="77777777" w:rsidR="00DE743E" w:rsidRPr="00560AFF" w:rsidRDefault="00DE743E" w:rsidP="00560A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FB77908" w14:textId="489F989F" w:rsidR="00DE743E" w:rsidRPr="00560AFF" w:rsidRDefault="00BE58CB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Long </w:t>
            </w:r>
            <w:proofErr w:type="spellStart"/>
            <w:r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Điền</w:t>
            </w:r>
            <w:proofErr w:type="spellEnd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0</w:t>
            </w:r>
            <w:r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D50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6</w:t>
            </w:r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202</w:t>
            </w:r>
            <w:r w:rsidR="00D50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  <w:p w14:paraId="2CAAF4EF" w14:textId="77777777" w:rsidR="00DE743E" w:rsidRPr="00560AFF" w:rsidRDefault="00E16D0A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0A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KT. </w:t>
            </w:r>
            <w:r w:rsidR="00DE743E" w:rsidRPr="00560A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GIÁM ĐỐC</w:t>
            </w:r>
          </w:p>
          <w:p w14:paraId="3583442D" w14:textId="77777777" w:rsidR="00E16D0A" w:rsidRPr="00560AFF" w:rsidRDefault="00E16D0A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A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PHÓ GIÁM ĐỐC</w:t>
            </w:r>
          </w:p>
          <w:p w14:paraId="07DB338A" w14:textId="77777777" w:rsidR="00DE743E" w:rsidRPr="00560AFF" w:rsidRDefault="00DE743E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54E9A7" w14:textId="77777777" w:rsidR="00E16D0A" w:rsidRPr="00560AFF" w:rsidRDefault="00E16D0A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94B888" w14:textId="77777777" w:rsidR="00E16D0A" w:rsidRPr="00560AFF" w:rsidRDefault="00E16D0A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7825D4" w14:textId="77777777" w:rsidR="00E16D0A" w:rsidRPr="00560AFF" w:rsidRDefault="00E16D0A" w:rsidP="00560A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60A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560A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0A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Hữu</w:t>
            </w:r>
            <w:proofErr w:type="spellEnd"/>
            <w:r w:rsidRPr="00560A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0A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Dũng</w:t>
            </w:r>
            <w:proofErr w:type="spellEnd"/>
          </w:p>
        </w:tc>
      </w:tr>
    </w:tbl>
    <w:p w14:paraId="1C8BA119" w14:textId="77777777" w:rsidR="00254C05" w:rsidRPr="00560AFF" w:rsidRDefault="00254C05" w:rsidP="00560AFF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4C05" w:rsidRPr="00560AFF" w:rsidSect="000151C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3E"/>
    <w:rsid w:val="000151C9"/>
    <w:rsid w:val="00072CC0"/>
    <w:rsid w:val="000C4DE3"/>
    <w:rsid w:val="00254C05"/>
    <w:rsid w:val="003F5714"/>
    <w:rsid w:val="00560AFF"/>
    <w:rsid w:val="005C0231"/>
    <w:rsid w:val="006C4886"/>
    <w:rsid w:val="00721F81"/>
    <w:rsid w:val="009B4A62"/>
    <w:rsid w:val="00A839B3"/>
    <w:rsid w:val="00AC4E45"/>
    <w:rsid w:val="00AF2625"/>
    <w:rsid w:val="00BE58CB"/>
    <w:rsid w:val="00D47C9B"/>
    <w:rsid w:val="00D500C9"/>
    <w:rsid w:val="00DE743E"/>
    <w:rsid w:val="00E16D0A"/>
    <w:rsid w:val="00E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751D7"/>
  <w15:docId w15:val="{C43B7594-475C-48D6-A2F7-89770BF1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43E"/>
    <w:rPr>
      <w:b/>
      <w:bCs/>
    </w:rPr>
  </w:style>
  <w:style w:type="character" w:styleId="Emphasis">
    <w:name w:val="Emphasis"/>
    <w:basedOn w:val="DefaultParagraphFont"/>
    <w:uiPriority w:val="20"/>
    <w:qFormat/>
    <w:rsid w:val="00DE74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7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8CB"/>
    <w:pPr>
      <w:ind w:left="720"/>
      <w:contextualSpacing/>
    </w:pPr>
  </w:style>
  <w:style w:type="character" w:customStyle="1" w:styleId="fontstyle01">
    <w:name w:val="fontstyle01"/>
    <w:basedOn w:val="DefaultParagraphFont"/>
    <w:rsid w:val="00072C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">
    <w:name w:val="Char"/>
    <w:basedOn w:val="Normal"/>
    <w:rsid w:val="00AF262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Davis</cp:lastModifiedBy>
  <cp:revision>10</cp:revision>
  <dcterms:created xsi:type="dcterms:W3CDTF">2021-06-30T14:58:00Z</dcterms:created>
  <dcterms:modified xsi:type="dcterms:W3CDTF">2022-06-10T04:14:00Z</dcterms:modified>
</cp:coreProperties>
</file>